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31.10.2019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8"/>
                <w:sz w:val="17"/>
              </w:rPr>
              <w:t> 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місяців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2019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216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підсумки роботи Мелітопольського міськрайонного відділу філії державної установи “Центр пробації” в Запорізькій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області у Ш кварталі та за 9 місяців 2019 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217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призначення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опікуна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над</w:t>
            </w:r>
            <w:r>
              <w:rPr>
                <w:spacing w:val="31"/>
                <w:sz w:val="17"/>
              </w:rPr>
              <w:t>  </w:t>
            </w:r>
            <w:r>
              <w:rPr>
                <w:spacing w:val="-2"/>
                <w:sz w:val="17"/>
              </w:rPr>
              <w:t>нерухомим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майном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правочинів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 </w:t>
            </w:r>
            <w:r>
              <w:rPr>
                <w:sz w:val="17"/>
              </w:rPr>
              <w:t>укладення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договору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розподілу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спадкового</w:t>
            </w:r>
            <w:r>
              <w:rPr>
                <w:spacing w:val="-2"/>
                <w:sz w:val="17"/>
              </w:rPr>
              <w:t> 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вирішення спору про визнання малолітньої дитини такою, що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втратила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2"/>
                <w:sz w:val="17"/>
              </w:rPr>
              <w:t>житловим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приміщенням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визначення місця проживання малолітньої дитини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нею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малолітніх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дітей: (…)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спілкуванні з </w:t>
            </w:r>
            <w:r>
              <w:rPr>
                <w:spacing w:val="-4"/>
                <w:sz w:val="17"/>
              </w:rPr>
              <w:t>ними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малолітніх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дітей: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(…) 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both"/>
              <w:rPr>
                <w:sz w:val="17"/>
              </w:rPr>
            </w:pPr>
            <w:r>
              <w:rPr>
                <w:sz w:val="17"/>
              </w:rPr>
              <w:t>Про надання неповнолітньому (…), (…) р.н., статусу дитини, яка постраждала 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малолітній (…), (…) р.н., статусу 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р.н.,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статусу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218/19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р.н., статусу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73"/>
                <w:sz w:val="17"/>
              </w:rPr>
              <w:t> </w:t>
            </w:r>
            <w:r>
              <w:rPr>
                <w:spacing w:val="-2"/>
                <w:sz w:val="17"/>
              </w:rPr>
              <w:t>внаслідок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воєнних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218/20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малолітній (…), (…) р.н., статусу 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218/21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(...),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р.н.,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218/22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219/1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кошторисного розрахунку і вартості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безоплатного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капітального</w:t>
            </w:r>
            <w:r>
              <w:rPr>
                <w:spacing w:val="68"/>
                <w:sz w:val="17"/>
              </w:rPr>
              <w:t> </w:t>
            </w:r>
            <w:r>
              <w:rPr>
                <w:spacing w:val="-2"/>
                <w:sz w:val="17"/>
              </w:rPr>
              <w:t>ремонту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будинків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(квартир)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219/2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11" w:val="left" w:leader="none"/>
                <w:tab w:pos="1908" w:val="left" w:leader="none"/>
                <w:tab w:pos="2570" w:val="left" w:leader="none"/>
                <w:tab w:pos="3343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затвердження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норм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витрат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нагородження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220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13.09.2018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198/4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оновленого складу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постійної комісії із розв’язання проблемних питань забезпечення житлових прав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мешканців гуртожитків на житло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27.12.2018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288/4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221/3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справи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221/4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надання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спеціального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зонального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погодження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222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32"/>
                <w:sz w:val="17"/>
              </w:rPr>
              <w:t>  </w:t>
            </w:r>
            <w:r>
              <w:rPr>
                <w:sz w:val="17"/>
              </w:rPr>
              <w:t>управління</w:t>
            </w:r>
            <w:r>
              <w:rPr>
                <w:spacing w:val="64"/>
                <w:sz w:val="17"/>
              </w:rPr>
              <w:t> </w:t>
            </w:r>
            <w:r>
              <w:rPr>
                <w:spacing w:val="-2"/>
                <w:sz w:val="17"/>
              </w:rPr>
              <w:t>освіти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Запорізької області витрат по об’єкту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223/1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 Мелітопольського навчально-виховного комплексу №16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об’єкту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223/2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здійснення КНП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«Центр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медико санітарної допомоги № 2» Мелітопольської міської ради Запорізької області безоплатної передачі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034" w:val="left" w:leader="none"/>
                <w:tab w:pos="1528" w:val="left" w:leader="none"/>
                <w:tab w:pos="2724" w:val="left" w:leader="none"/>
                <w:tab w:pos="3358" w:val="left" w:leader="none"/>
              </w:tabs>
              <w:spacing w:line="271" w:lineRule="auto" w:before="0"/>
              <w:ind w:right="5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«Центр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лікувально-діагностичної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та</w:t>
            </w:r>
            <w:r>
              <w:rPr>
                <w:spacing w:val="-2"/>
                <w:sz w:val="17"/>
              </w:rPr>
              <w:t> лабораторної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медичної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допомоги» </w:t>
            </w:r>
            <w:r>
              <w:rPr>
                <w:sz w:val="17"/>
              </w:rPr>
              <w:t>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224/1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«Центр лікувально- діагностичної та лабораторної медичної допомоги» Мелітопольської міської ради Запорізької області безоплатної передачі комунального майна на баланси КУ «Центр первинної медико-санітарної допомоги № 1» Мелітопольської міської ради Запорізької області та КНП «Центр первинної медико- санітарної допомоги № 2»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224/2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здійснення КНП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«Центр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медико санітарної допомоги № 2» Мелітопольської міської ради Запорізької області безоплатної передачі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баланси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5"/>
                <w:sz w:val="17"/>
              </w:rPr>
              <w:t>КУ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«Центр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медико-санітарної </w:t>
            </w:r>
            <w:r>
              <w:rPr>
                <w:spacing w:val="-2"/>
                <w:sz w:val="17"/>
              </w:rPr>
              <w:t>допомоги</w:t>
            </w:r>
          </w:p>
          <w:p>
            <w:pPr>
              <w:pStyle w:val="TableParagraph"/>
              <w:spacing w:line="271" w:lineRule="auto" w:before="25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№ 1»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ради Запорізької області та КНП «Центр лікувально- діагностичної та лабораторної медичної допомоги» Мелітопольської міської ради Запорізької області з правом оперативного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224/3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 санітарної допомоги № 1» Мелітопольської міської ради Запорізької області безоплатної передачі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034" w:val="left" w:leader="none"/>
                <w:tab w:pos="1528" w:val="left" w:leader="none"/>
                <w:tab w:pos="2724" w:val="left" w:leader="none"/>
                <w:tab w:pos="3358" w:val="left" w:leader="none"/>
              </w:tabs>
              <w:spacing w:line="271" w:lineRule="auto" w:before="0"/>
              <w:ind w:right="5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«Центр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лікувально-діагностичної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та</w:t>
            </w:r>
            <w:r>
              <w:rPr>
                <w:spacing w:val="-2"/>
                <w:sz w:val="17"/>
              </w:rPr>
              <w:t> лабораторної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медичної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допомоги» </w:t>
            </w:r>
            <w:r>
              <w:rPr>
                <w:sz w:val="17"/>
              </w:rPr>
              <w:t>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224/4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освіти Мелітопольської міської ради Запорізької області безоплатної передачі комунального майна на баланс Мелітопольської загальноосвітньої школи І-ІІІ ступенів № 24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224/5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576" w:val="left" w:leader="none"/>
                <w:tab w:pos="2926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визначення управління житлово- комунального господарства Мелітопольської міської ради балансоутримувачем з правом </w:t>
            </w:r>
            <w:r>
              <w:rPr>
                <w:spacing w:val="-2"/>
                <w:sz w:val="17"/>
              </w:rPr>
              <w:t>оперативного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управління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об’єктів </w:t>
            </w:r>
            <w:r>
              <w:rPr>
                <w:sz w:val="17"/>
              </w:rPr>
              <w:t>благоустрою: автобусних зупинок в м.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224/6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50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соціального захисту населення Мелітопольської міської ради Запорізької області безоплатної передачі вбудованих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приміщень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загальною</w:t>
            </w:r>
          </w:p>
          <w:p>
            <w:pPr>
              <w:pStyle w:val="TableParagraph"/>
              <w:spacing w:line="271" w:lineRule="auto" w:before="34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площею 62,3 м</w:t>
            </w:r>
            <w:r>
              <w:rPr>
                <w:sz w:val="17"/>
                <w:vertAlign w:val="superscript"/>
              </w:rPr>
              <w:t>2</w:t>
            </w:r>
            <w:r>
              <w:rPr>
                <w:sz w:val="17"/>
                <w:vertAlign w:val="baseline"/>
              </w:rPr>
              <w:t>, розташованих на першому поверсі житлового будинку по просп. 50-річчя Перемоги, 36/1, на баланс управління комунальною власністю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224/7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222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погодження інвестиційної програми комунального підприємства «Водоканал»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225/1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Титульний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лист</w:t>
            </w:r>
            <w:r>
              <w:rPr>
                <w:spacing w:val="-4"/>
                <w:sz w:val="17"/>
              </w:rPr>
              <w:t> (іп)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 фінансовий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(іп)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 річний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(іп)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початок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опалювального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сезону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2019-</w:t>
            </w:r>
            <w:r>
              <w:rPr>
                <w:spacing w:val="-4"/>
                <w:sz w:val="17"/>
              </w:rPr>
              <w:t>2020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років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225/2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10.10.2019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212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226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рішення місцевої комісії з визначення напрямів спрямування субвенції з державного бюджету місцевим бюджетам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227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контролю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виконкому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30.05.2019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105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228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31/10/2019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(…)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інформація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оприлюднюється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в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інтересах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2021-11-04T04:00:31Z</dcterms:created>
  <dcterms:modified xsi:type="dcterms:W3CDTF">2021-11-04T04:00:31Z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